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F234E">
      <w:pPr>
        <w:pStyle w:val="2"/>
        <w:divId w:val="928004409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Создание извещения о продаже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1161888222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 процедуре</w:t>
            </w:r>
          </w:p>
        </w:tc>
      </w:tr>
      <w:tr w:rsidR="00000000">
        <w:trPr>
          <w:divId w:val="1161888222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Тип процедуры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divId w:val="999499323"/>
              <w:rPr>
                <w:rFonts w:eastAsia="Times New Roman"/>
              </w:rPr>
            </w:pPr>
            <w:r>
              <w:rPr>
                <w:rFonts w:eastAsia="Times New Roman"/>
              </w:rPr>
              <w:t>Аукцион (приватизация)</w:t>
            </w:r>
          </w:p>
        </w:tc>
      </w:tr>
      <w:tr w:rsidR="00000000">
        <w:trPr>
          <w:divId w:val="1161888222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процедуры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Аукцион. Пакет акций 12,92% акционерного общества «Югорская лизинговая компания (ОГРН 1028600511390, ИНН 8601012020) [230718/2829175/01]</w:t>
            </w:r>
          </w:p>
        </w:tc>
      </w:tr>
      <w:tr w:rsidR="00000000">
        <w:trPr>
          <w:divId w:val="1161888222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Адрес электронной площадки в сети "Интернет"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http://utp.sberbank-ast.ru/AP</w:t>
            </w:r>
          </w:p>
        </w:tc>
      </w:tr>
      <w:tr w:rsidR="00000000">
        <w:trPr>
          <w:divId w:val="1161888222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Порядок регистрации претендентов на ЭП, правила проведения процедуры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Определены в регламенте ТС ЭП</w:t>
            </w:r>
          </w:p>
        </w:tc>
      </w:tr>
      <w:tr w:rsidR="00000000">
        <w:trPr>
          <w:divId w:val="1161888222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Нормативное регулирование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Федеральный закон от 21.12.2001 г. №178-ФЗ, П</w:t>
            </w:r>
            <w:r>
              <w:rPr>
                <w:rFonts w:eastAsia="Times New Roman"/>
              </w:rPr>
              <w:t>остановление Правительства РФ №860 от 27.08.2012</w:t>
            </w:r>
          </w:p>
        </w:tc>
      </w:tr>
    </w:tbl>
    <w:p w:rsidR="00000000" w:rsidRDefault="009F234E">
      <w:pPr>
        <w:divId w:val="1161888222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747844994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об организаторе процедуры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организатора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Полное наименование организатора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ИНН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8602020249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КПП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860201001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Юридический адрес / Место нахождения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628408, Россия, Ханты-Мансийский Автономный округ - Югра АО, Сургут, Энгельса, д. 8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Фактический адрес (почтовый)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628404, Россия, Ханты-Мансийский Автономный округ - Югра АО, Сургут, Восход, д. 4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Адрес электронной </w:t>
            </w:r>
            <w:r>
              <w:rPr>
                <w:rFonts w:eastAsia="Times New Roman"/>
              </w:rPr>
              <w:t>почты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sharova_ov@admsurgut.ru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Номера контактных телефонов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+7 (3462) 52-83-67, 52-82-52</w:t>
            </w:r>
          </w:p>
        </w:tc>
      </w:tr>
      <w:tr w:rsidR="00000000">
        <w:trPr>
          <w:divId w:val="74784499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Контактное лицо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Шарова Ольга Васильевна</w:t>
            </w:r>
          </w:p>
        </w:tc>
      </w:tr>
    </w:tbl>
    <w:p w:rsidR="00000000" w:rsidRDefault="009F234E">
      <w:pPr>
        <w:divId w:val="747844994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2083216066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об инициаторе/продавце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инициатора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Полное наименование инициатора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ИНН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8602020249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КПП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860201001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Юридический адрес / Место нахождения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628408, Россия, Ханты-Мансийский Автономный округ - Югра АО, Сургут, Энгельса, д. 8</w:t>
            </w:r>
          </w:p>
        </w:tc>
      </w:tr>
      <w:tr w:rsidR="00000000">
        <w:trPr>
          <w:divId w:val="208321606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Фактический адрес (почтовый)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628</w:t>
            </w:r>
            <w:r>
              <w:rPr>
                <w:rFonts w:eastAsia="Times New Roman"/>
              </w:rPr>
              <w:t>404, Россия, Ханты-Мансийский Автономный округ - Югра АО, Сургут, Восход, д. 4</w:t>
            </w:r>
          </w:p>
        </w:tc>
      </w:tr>
    </w:tbl>
    <w:p w:rsidR="00000000" w:rsidRDefault="009F234E">
      <w:pPr>
        <w:divId w:val="2083216066"/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</w:tblGrid>
      <w:tr w:rsidR="00000000">
        <w:trPr>
          <w:divId w:val="1941327969"/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Лоты </w:t>
            </w:r>
          </w:p>
        </w:tc>
      </w:tr>
      <w:tr w:rsidR="00000000">
        <w:trPr>
          <w:divId w:val="1941327969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1"/>
              <w:gridCol w:w="6442"/>
            </w:tblGrid>
            <w:tr w:rsidR="00000000">
              <w:trPr>
                <w:tblHeader/>
              </w:trPr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9F234E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>Сведения о лоте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Номер лота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Наименование лота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Пакет акций 12,92 % акционерного общества «Югорская лизинговая компания (ОГРН 1028600511390, ИНН 8601012020) [230718/2829175/01]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Основание для продажи имущества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  <w:i/>
                      <w:iCs/>
                    </w:rPr>
                    <w:t>Наименование органа, принявшего решение об условиях приватизации имущества, реквизиты указан</w:t>
                  </w:r>
                  <w:r>
                    <w:rPr>
                      <w:rFonts w:eastAsia="Times New Roman"/>
                      <w:i/>
                      <w:iCs/>
                    </w:rPr>
                    <w:t>ного решения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Решение Думы г. Сургута от 04.07.2018 № 288-VI ДГ, распоряжение Администрации г. Сургута от 18.07.2018 № 1170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Описание имущества (объекта) / характеристики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Обыкновенные именные бездокументарные акции акционерного общества «Югорская лизинговая компания (ОГРН 1028600511390, ИНН 8601012020) в количестве 31 штука номинальной стоимостью 50 000 руб., государственный регистрационный номер выпуска 1-01-00290-F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Регио</w:t>
                  </w:r>
                  <w:r>
                    <w:rPr>
                      <w:rFonts w:eastAsia="Times New Roman"/>
                    </w:rPr>
                    <w:t>н / Местоположение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Ханты-Мансийский автономный округ - Югра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Тип имущества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Муниципальное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Категория имущества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Акции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Файл с описанием / характеристиками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96"/>
                  </w:tblGrid>
                  <w:tr w:rsidR="00000000">
                    <w:trPr>
                      <w:divId w:val="43876650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p w:rsidR="00000000" w:rsidRDefault="009F234E">
                        <w:pPr>
                          <w:spacing w:after="240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Приложение 3. Выписка из реестра владельцев ЦБ (АО ЮЛК).pdf</w:t>
                        </w:r>
                        <w:r>
                          <w:rPr>
                            <w:rFonts w:eastAsia="Times New Roman"/>
                          </w:rPr>
                          <w:br/>
                          <w:t>23.07.2018</w:t>
                        </w:r>
                      </w:p>
                    </w:tc>
                  </w:tr>
                  <w:tr w:rsidR="00000000">
                    <w:trPr>
                      <w:divId w:val="43876650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p w:rsidR="00000000" w:rsidRDefault="009F234E">
                        <w:pPr>
                          <w:spacing w:after="240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Приложение 4. Бухг</w:t>
                        </w:r>
                        <w:r>
                          <w:rPr>
                            <w:rFonts w:eastAsia="Times New Roman"/>
                          </w:rPr>
                          <w:t>алтерская отчетность ЮЛК (Ф. № 1, 2) за 2017 г.pdf</w:t>
                        </w:r>
                        <w:r>
                          <w:rPr>
                            <w:rFonts w:eastAsia="Times New Roman"/>
                          </w:rPr>
                          <w:br/>
                          <w:t>23.07.2018</w:t>
                        </w:r>
                      </w:p>
                    </w:tc>
                  </w:tr>
                  <w:tr w:rsidR="00000000">
                    <w:trPr>
                      <w:divId w:val="43876650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p w:rsidR="00000000" w:rsidRDefault="009F234E">
                        <w:pPr>
                          <w:spacing w:after="240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Приложение 5. Виды деятельности по ОКВЭД.pdf</w:t>
                        </w:r>
                        <w:r>
                          <w:rPr>
                            <w:rFonts w:eastAsia="Times New Roman"/>
                          </w:rPr>
                          <w:br/>
                          <w:t>23.07.2018</w:t>
                        </w:r>
                      </w:p>
                    </w:tc>
                  </w:tr>
                  <w:tr w:rsidR="00000000">
                    <w:trPr>
                      <w:divId w:val="43876650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p w:rsidR="00000000" w:rsidRDefault="009F234E">
                        <w:pPr>
                          <w:spacing w:after="240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Приложение 6. Справка о численности.pdf</w:t>
                        </w:r>
                        <w:r>
                          <w:rPr>
                            <w:rFonts w:eastAsia="Times New Roman"/>
                          </w:rPr>
                          <w:br/>
                          <w:t>23.07.2018</w:t>
                        </w:r>
                      </w:p>
                    </w:tc>
                  </w:tr>
                  <w:tr w:rsidR="00000000">
                    <w:trPr>
                      <w:divId w:val="43876650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p w:rsidR="00000000" w:rsidRDefault="009F234E">
                        <w:pPr>
                          <w:spacing w:after="240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Приложение 7. Недвижимость и ЗУ.pdf</w:t>
                        </w:r>
                        <w:r>
                          <w:rPr>
                            <w:rFonts w:eastAsia="Times New Roman"/>
                          </w:rPr>
                          <w:br/>
                          <w:t>23.07.2018</w:t>
                        </w:r>
                      </w:p>
                    </w:tc>
                  </w:tr>
                </w:tbl>
                <w:p w:rsidR="00000000" w:rsidRDefault="009F234E">
                  <w:pPr>
                    <w:divId w:val="438766505"/>
                    <w:rPr>
                      <w:rFonts w:eastAsia="Times New Roman"/>
                    </w:rPr>
                  </w:pP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Порядок ознакомления с имуществом (объектом)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Любое лицо (независимо от регистрации в ТС ЭП) вправе не позднее 5 рабочих дней до окончания подачи заявок направить запрос о разъяснении размещённой информации. Ответ Организатора процедуры (Продавца) с разъ</w:t>
                  </w:r>
                  <w:r>
                    <w:rPr>
                      <w:rFonts w:eastAsia="Times New Roman"/>
                    </w:rPr>
                    <w:t>яснениями размещается в извещении о проведении процедуры продажи.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Иная информация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Обременения (ограничения)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Не зарегистрировано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lastRenderedPageBreak/>
                    <w:t>Валюта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Российский рубль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Начальная цена, руб.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4293000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Шаг торговой сессии, руб.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200000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Перечисление задатка на счета Оператора электронной площадки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да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Размер задатка, руб.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858600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Срок и порядок внесения и возврата задатка. Реквизиты счета для перечисления задатка. Назначение платежа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Задаток на участие в процедуре продажи служит об</w:t>
                  </w:r>
                  <w:r>
                    <w:rPr>
                      <w:rFonts w:eastAsia="Times New Roman"/>
                    </w:rPr>
                    <w:t>еспечением исполнения обязательства победителя по заключению договора купли-продажи и оплате приобретённого на торгах имущества. Задаток перечисляется на счёт оператора ЭП в порядке, определённом в регламенте ТС ЭП. Реквизиты для перечисления средств и наз</w:t>
                  </w:r>
                  <w:r>
                    <w:rPr>
                      <w:rFonts w:eastAsia="Times New Roman"/>
                    </w:rPr>
                    <w:t>начение платежа представлены в ТС пункт меню «Информация по ТС» подпункт «Банковские реквизиты» http://utp.sberbank-ast.ru/AP/Notice/653/Requisites. В момент подачи заявки ЭП программными средствами проверяет наличие денежной суммы в размере задатка на лиц</w:t>
                  </w:r>
                  <w:r>
                    <w:rPr>
                      <w:rFonts w:eastAsia="Times New Roman"/>
                    </w:rPr>
                    <w:t>евом счёте Претендента (открытом при регистрации Претендента) и производит блокирование денежных средств в размере задатка на Лицевом счёте Претендента (разблокирование производится в порядке, определённом в регламенте ТС ЭП). Задаток, перечисленный победи</w:t>
                  </w:r>
                  <w:r>
                    <w:rPr>
                      <w:rFonts w:eastAsia="Times New Roman"/>
                    </w:rPr>
                    <w:t>телем процедуры, засчитывается в сумму платежа по договору купли-продажи имущества. При уклонении или отказе победителя процедуры от заключения в установленный срок договора купли-продажи имущества (а равно от исполнения обязательств по договору купли-прод</w:t>
                  </w:r>
                  <w:r>
                    <w:rPr>
                      <w:rFonts w:eastAsia="Times New Roman"/>
                    </w:rPr>
                    <w:t>ажи имущества), задаток ему не возвращается. ВНИМАНИЕ! Срок зачисления денежных средств на Лицевой счёт Претендента на ЭП – от 1 до 3 рабочих дней. Денежные средства, перечисленные за Претендента третьим лицом, не зачисляются на Лицевой счёт такого Претенд</w:t>
                  </w:r>
                  <w:r>
                    <w:rPr>
                      <w:rFonts w:eastAsia="Times New Roman"/>
                    </w:rPr>
                    <w:t>ента.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Срок заключения договора по итогам процедуры</w:t>
                  </w: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</w:rPr>
                    <w:t>*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Договор купли-продажи имущества заключается с победителем торгов в течение 5 (пяти) рабочих дней с даты подведения итогов в простой письменной форме по месту нахождения Организатора процедуры (Продавца</w:t>
                  </w:r>
                  <w:r>
                    <w:rPr>
                      <w:rFonts w:eastAsia="Times New Roman"/>
                    </w:rPr>
                    <w:t>). При уклонении или отказе победителя процедуры от заключения в установленный срок договора купли-продажи имущества победитель утрачивает право на заключение указанного договора. Оплата по договору купли-продажи имущества производится единовременно в тече</w:t>
                  </w:r>
                  <w:r>
                    <w:rPr>
                      <w:rFonts w:eastAsia="Times New Roman"/>
                    </w:rPr>
                    <w:t>ние 30 (тридцати) дней с момента его подписания безналичным путём на расчётный счёт Организатора процедуры (Продавца), указанный в договоре. ВНИМАНИЕ! Расходы, связанные с проведением операций.</w:t>
                  </w:r>
                </w:p>
              </w:tc>
            </w:tr>
            <w:tr w:rsidR="00000000">
              <w:tc>
                <w:tcPr>
                  <w:tcW w:w="15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Информация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Условия, указанные в извещении, являются условия</w:t>
                  </w:r>
                  <w:r>
                    <w:rPr>
                      <w:rFonts w:eastAsia="Times New Roman"/>
                    </w:rPr>
                    <w:t xml:space="preserve">ми публичной оферты в соответствии со статьей 437 Гражданского кодекса Российской Федерации. Подача </w:t>
                  </w:r>
                  <w:r>
                    <w:rPr>
                      <w:rFonts w:eastAsia="Times New Roman"/>
                    </w:rPr>
                    <w:lastRenderedPageBreak/>
                    <w:t>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      </w:r>
                </w:p>
              </w:tc>
            </w:tr>
          </w:tbl>
          <w:p w:rsidR="00000000" w:rsidRDefault="009F234E">
            <w:pPr>
              <w:rPr>
                <w:rFonts w:eastAsia="Times New Roman"/>
              </w:rPr>
            </w:pPr>
          </w:p>
        </w:tc>
      </w:tr>
    </w:tbl>
    <w:p w:rsidR="00000000" w:rsidRDefault="009F234E">
      <w:pPr>
        <w:divId w:val="1941327969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1790009357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Порядок оформления заявок на участие</w:t>
            </w:r>
          </w:p>
        </w:tc>
      </w:tr>
      <w:tr w:rsidR="00000000">
        <w:trPr>
          <w:divId w:val="1790009357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Требования, предъявляемые к Участнику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 участию в процедуре продажи допускаются любые юридические и физические лица (с учётом ограничения участия отдельных категорий участников, установленных ст. 5 Закона о приватизации), своевременно подавшие заявку на участие в продаже (с приложением электро</w:t>
            </w:r>
            <w:r>
              <w:rPr>
                <w:rFonts w:eastAsia="Times New Roman"/>
              </w:rPr>
              <w:t>нных образов документов, предусмотренных Законом о приватизации) и обеспечившие в установленный срок перечисление задатка. ВНИМАНИЕ! Для подачи заявки на участие в продаже Претендент должен быть зарегистрирован в ТС ЭП.</w:t>
            </w:r>
          </w:p>
        </w:tc>
      </w:tr>
      <w:tr w:rsidR="00000000">
        <w:trPr>
          <w:divId w:val="1790009357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Перечень документов, предоставляемы</w:t>
            </w:r>
            <w:r>
              <w:rPr>
                <w:rFonts w:eastAsia="Times New Roman"/>
              </w:rPr>
              <w:t>х Участником в составе заявки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ЮРИДИЧЕСКИЕ ЛИЦА: копии учредительных документов;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</w:t>
            </w:r>
            <w:r>
              <w:rPr>
                <w:rFonts w:eastAsia="Times New Roman"/>
              </w:rPr>
              <w:t>цев акций либо выписка из него или заверенное печатью юридического лица (при наличии печати) и подписанное его руководителем письмо); документ, который подтверждает полномочия руководителя юридического лица на осуществление действий от имени юридического л</w:t>
            </w:r>
            <w:r>
              <w:rPr>
                <w:rFonts w:eastAsia="Times New Roman"/>
              </w:rPr>
              <w:t>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 ФИЗИЧЕСКИЕ ЛИЦА: копия всех листов документа, удостоверяющий л</w:t>
            </w:r>
            <w:r>
              <w:rPr>
                <w:rFonts w:eastAsia="Times New Roman"/>
              </w:rPr>
              <w:t>ичность. В случае, если от имени Претендента действует его ПРЕДСТАВИТЕЛЬ по доверенности, прилагается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</w:t>
            </w:r>
            <w:r>
              <w:rPr>
                <w:rFonts w:eastAsia="Times New Roman"/>
              </w:rPr>
              <w:t>лучае, если доверенность на осуществление действий от имени Претендента подписана лицом, уполномоченным руководителем юридического лица, также прилагается документ, подтверждающий полномочия этого лица. К документам прилагается ОПИСЬ ДОКУМЕНТОВ, составленн</w:t>
            </w:r>
            <w:r>
              <w:rPr>
                <w:rFonts w:eastAsia="Times New Roman"/>
              </w:rPr>
              <w:t>ая в произвольной форме с указанием количества листов каждого документа.</w:t>
            </w:r>
          </w:p>
        </w:tc>
      </w:tr>
      <w:tr w:rsidR="00000000">
        <w:trPr>
          <w:divId w:val="1790009357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Требование к приложению заявки на участие по форме Организатора процедуры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</w:tr>
      <w:tr w:rsidR="00000000">
        <w:trPr>
          <w:divId w:val="1790009357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к оформлению представляемых участниками документов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Заявка на участие в процед</w:t>
            </w:r>
            <w:r>
              <w:rPr>
                <w:rFonts w:eastAsia="Times New Roman"/>
              </w:rPr>
              <w:t xml:space="preserve">уре продажи подаётся путём заполнения её электронной формы посредством штатного интерфейса ЭП, подписывается электронной подписью Претендента либо лица, имеющего право действовать от имени Претендента. Ознакомиться с формой заявки можно в </w:t>
            </w:r>
            <w:r>
              <w:rPr>
                <w:rFonts w:eastAsia="Times New Roman"/>
              </w:rPr>
              <w:lastRenderedPageBreak/>
              <w:t>ТС пункт меню «Ин</w:t>
            </w:r>
            <w:r>
              <w:rPr>
                <w:rFonts w:eastAsia="Times New Roman"/>
              </w:rPr>
              <w:t>формация по ТС» подпункт «Инструкции по работе в ТС» http://utp.sberbank-ast.ru/AP/Notice/652/Instructions. Документы, представляемые в составе заявки, подкрепляются в форме электронных образов документов (документов на бумажном носителе, преобразованных в</w:t>
            </w:r>
            <w:r>
              <w:rPr>
                <w:rFonts w:eastAsia="Times New Roman"/>
              </w:rPr>
              <w:t xml:space="preserve"> электронно-цифровую форму путём сканирования с сохранением их реквизитов), заверяются электронной подписью Претендента либо лица, имеющего право действовать от имени Претендента. Данное правило не применяется для копии выписки из ЕГРЮЛ, передаваемой автом</w:t>
            </w:r>
            <w:r>
              <w:rPr>
                <w:rFonts w:eastAsia="Times New Roman"/>
              </w:rPr>
              <w:t>атически в составе заявки. Все документы, преобразуемые в электронно-цифровую форму, должны быть подписаны Претендентом либо его представителем, имеющим право действовать от имени Претендента. Документы от имени юридического лица должны быть скреплены печа</w:t>
            </w:r>
            <w:r>
              <w:rPr>
                <w:rFonts w:eastAsia="Times New Roman"/>
              </w:rPr>
              <w:t>тью такого юридического лица (при наличии печати). ВНИМАНИЕ! Наличие электронной подписи означает, что представленные Претендентом или лицом, имеющим право действовать от имени Претендента, документы и сведения направлены от имени Претендента и отправитель</w:t>
            </w:r>
            <w:r>
              <w:rPr>
                <w:rFonts w:eastAsia="Times New Roman"/>
              </w:rPr>
              <w:t xml:space="preserve"> несёт ответственность за подлинность и достоверность таких документов и сведений.</w:t>
            </w:r>
          </w:p>
        </w:tc>
      </w:tr>
      <w:tr w:rsidR="00000000">
        <w:trPr>
          <w:divId w:val="1790009357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Ограничение участия отдельных категорий участников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 участию в процедуре продажи допускаются любые юридические и физические лица, за исключением: государственных и муниц</w:t>
            </w:r>
            <w:r>
              <w:rPr>
                <w:rFonts w:eastAsia="Times New Roman"/>
              </w:rPr>
              <w:t>ипальных унитарных предприятий, государственных и муниципальных учреждений; юридических лиц, в уставном капитале которых доля Российской Федерации, субъектов Российской Федерации и муниципальных образований превышает 25 %; юридических лиц, местом регистрац</w:t>
            </w:r>
            <w:r>
              <w:rPr>
                <w:rFonts w:eastAsia="Times New Roman"/>
              </w:rPr>
              <w:t>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</w:t>
            </w:r>
            <w:r>
              <w:rPr>
                <w:rFonts w:eastAsia="Times New Roman"/>
              </w:rPr>
              <w:t>тавления информации при проведении финансовых операций (офшорные зоны) (далее – офшорные компании); юридических лиц, в отношении которых офшорной компанией или группой лиц, в которую входит офшорная компания, осуществляется контроль; иных случаев, предусмо</w:t>
            </w:r>
            <w:r>
              <w:rPr>
                <w:rFonts w:eastAsia="Times New Roman"/>
              </w:rPr>
              <w:t>тренных статьёй 5 Закона о приватизации. Понятия «группа лиц» и «контроль» используются в значениях, указанных соответственно в статьях 9 и 11 Федерального закона от 26.07.2006 № 135-ФЗ «О защите конкуренции».</w:t>
            </w:r>
          </w:p>
        </w:tc>
      </w:tr>
    </w:tbl>
    <w:p w:rsidR="00000000" w:rsidRDefault="009F234E">
      <w:pPr>
        <w:divId w:val="1790009357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1073507663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Условия проведения процедуры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Форма подачи предложений о цене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Открытая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Дата и время начала подачи заявок на участие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25.07.2018 00:00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Дата и время окончания подачи заявок на участие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20.08.2018 14:00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Дата рассмотрения заявок на участие (дата определения участников)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24.08.2018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Дата и время начала торговой сессии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27.08.2018 09:00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Порядок определения победителя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Победителем признается участник, предложивший наиболее высокую цену</w:t>
            </w:r>
          </w:p>
        </w:tc>
      </w:tr>
      <w:tr w:rsidR="00000000">
        <w:trPr>
          <w:divId w:val="1073507663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Возможность отзыва заявки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До формирования протокола об определении участников</w:t>
            </w:r>
          </w:p>
        </w:tc>
      </w:tr>
    </w:tbl>
    <w:p w:rsidR="00000000" w:rsidRDefault="009F234E">
      <w:pPr>
        <w:divId w:val="1073507663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739138095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9F234E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</w:t>
            </w:r>
            <w:r>
              <w:rPr>
                <w:rFonts w:eastAsia="Times New Roman"/>
                <w:b/>
                <w:bCs/>
              </w:rPr>
              <w:t>окументы и сведения</w:t>
            </w:r>
          </w:p>
        </w:tc>
      </w:tr>
      <w:tr w:rsidR="00000000">
        <w:trPr>
          <w:divId w:val="739138095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Проект договора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9"/>
            </w:tblGrid>
            <w:tr w:rsidR="00000000">
              <w:trPr>
                <w:divId w:val="1833326517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Приложение 8. Проект дог. к-п пакета акций.docx</w:t>
                  </w:r>
                  <w:r>
                    <w:rPr>
                      <w:rFonts w:eastAsia="Times New Roman"/>
                    </w:rPr>
                    <w:br/>
                    <w:t>23.07.2018</w:t>
                  </w:r>
                </w:p>
              </w:tc>
            </w:tr>
          </w:tbl>
          <w:p w:rsidR="00000000" w:rsidRDefault="009F234E">
            <w:pPr>
              <w:divId w:val="1833326517"/>
              <w:rPr>
                <w:rFonts w:eastAsia="Times New Roman"/>
              </w:rPr>
            </w:pPr>
          </w:p>
        </w:tc>
      </w:tr>
      <w:tr w:rsidR="00000000">
        <w:trPr>
          <w:divId w:val="739138095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Информация о предыдущих торгах по продаже данного имущества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6"/>
            </w:tblGrid>
            <w:tr w:rsidR="00000000">
              <w:trPr>
                <w:divId w:val="1132020815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</w:p>
              </w:tc>
            </w:tr>
          </w:tbl>
          <w:p w:rsidR="00000000" w:rsidRDefault="009F234E">
            <w:pPr>
              <w:divId w:val="1132020815"/>
              <w:rPr>
                <w:rFonts w:eastAsia="Times New Roman"/>
              </w:rPr>
            </w:pPr>
          </w:p>
        </w:tc>
      </w:tr>
      <w:tr w:rsidR="00000000">
        <w:trPr>
          <w:divId w:val="739138095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Дополнительные документы и сведения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1"/>
            </w:tblGrid>
            <w:tr w:rsidR="00000000">
              <w:trPr>
                <w:divId w:val="1336226513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Приложение 1. Решение ДГ 288-VI-ДГ.pdf</w:t>
                  </w: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t>23.07.2018</w:t>
                  </w:r>
                </w:p>
              </w:tc>
            </w:tr>
            <w:tr w:rsidR="00000000">
              <w:trPr>
                <w:divId w:val="1336226513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Приложение 2. РАГ № 1170 от 18.07.2018 аукцион АО ЮЛК.pdf</w:t>
                  </w:r>
                  <w:r>
                    <w:rPr>
                      <w:rFonts w:eastAsia="Times New Roman"/>
                    </w:rPr>
                    <w:br/>
                    <w:t>23.07.2018</w:t>
                  </w:r>
                </w:p>
              </w:tc>
            </w:tr>
            <w:tr w:rsidR="00000000">
              <w:trPr>
                <w:divId w:val="1336226513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9F234E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Инф. сообщение акции АО ЮЛК (12,92 %).pdf</w:t>
                  </w:r>
                  <w:r>
                    <w:rPr>
                      <w:rFonts w:eastAsia="Times New Roman"/>
                    </w:rPr>
                    <w:br/>
                    <w:t>24.07.2018</w:t>
                  </w:r>
                </w:p>
              </w:tc>
            </w:tr>
          </w:tbl>
          <w:p w:rsidR="00000000" w:rsidRDefault="009F234E">
            <w:pPr>
              <w:divId w:val="1336226513"/>
              <w:rPr>
                <w:rFonts w:eastAsia="Times New Roman"/>
              </w:rPr>
            </w:pPr>
          </w:p>
        </w:tc>
      </w:tr>
    </w:tbl>
    <w:p w:rsidR="00000000" w:rsidRDefault="009F234E">
      <w:pPr>
        <w:divId w:val="739138095"/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4464"/>
      </w:tblGrid>
      <w:tr w:rsidR="0000000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Данные подписи 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Волошин Виталий Васильевич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г.Сургут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9F2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voloshin_vv@admsurgut.ru</w:t>
            </w:r>
          </w:p>
        </w:tc>
      </w:tr>
    </w:tbl>
    <w:p w:rsidR="00000000" w:rsidRDefault="009F234E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+hQm+O5Yv10+qv1+6Np6Zt5Znl7wB6+yF4orF+COHWh6JKqbWc64Pa0HpUFZ+h1yC6mYyJfkxiGmSkg9SSKubA==" w:salt="Cbfw7lntILakdNYhba+gXw==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5716E"/>
    <w:rsid w:val="009F234E"/>
    <w:rsid w:val="00D5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E09F3764-D81F-4226-BE4D-8FCFCD5B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block-head">
    <w:name w:val="block-head"/>
    <w:basedOn w:val="a"/>
    <w:pPr>
      <w:shd w:val="clear" w:color="auto" w:fill="CCCCCC"/>
      <w:spacing w:before="100" w:beforeAutospacing="1" w:after="100" w:afterAutospacing="1"/>
    </w:pPr>
  </w:style>
  <w:style w:type="paragraph" w:customStyle="1" w:styleId="block-lable">
    <w:name w:val="block-labl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00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9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44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6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0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1718</Words>
  <Characters>9799</Characters>
  <Application>Microsoft Office Word</Application>
  <DocSecurity>8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Ольга Васильевна</dc:creator>
  <cp:keywords/>
  <dc:description/>
  <cp:lastModifiedBy>Шарова Ольга Васильевна</cp:lastModifiedBy>
  <cp:revision>2</cp:revision>
  <dcterms:created xsi:type="dcterms:W3CDTF">2018-07-24T06:16:00Z</dcterms:created>
  <dcterms:modified xsi:type="dcterms:W3CDTF">2018-07-24T06:16:00Z</dcterms:modified>
</cp:coreProperties>
</file>